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89" w:rsidRPr="000D31F3" w:rsidRDefault="00345045" w:rsidP="00640389">
      <w:pPr>
        <w:rPr>
          <w:sz w:val="24"/>
          <w:szCs w:val="24"/>
        </w:rPr>
      </w:pPr>
      <w:bookmarkStart w:id="0" w:name="_GoBack"/>
      <w:bookmarkEnd w:id="0"/>
      <w:r w:rsidRPr="000D31F3">
        <w:rPr>
          <w:sz w:val="24"/>
          <w:szCs w:val="24"/>
        </w:rPr>
        <w:t>Project Title:</w:t>
      </w:r>
      <w:r w:rsidRPr="000D31F3">
        <w:rPr>
          <w:sz w:val="24"/>
          <w:szCs w:val="24"/>
        </w:rPr>
        <w:tab/>
      </w:r>
      <w:r w:rsidR="00640389" w:rsidRPr="000D31F3">
        <w:rPr>
          <w:sz w:val="24"/>
          <w:szCs w:val="24"/>
        </w:rPr>
        <w:t>Canola Planting Date and Population Study – 2015.</w:t>
      </w:r>
    </w:p>
    <w:p w:rsidR="00640389" w:rsidRPr="000D31F3" w:rsidRDefault="00640389" w:rsidP="00611500">
      <w:pPr>
        <w:pStyle w:val="NoSpacing"/>
        <w:ind w:left="1440" w:hanging="1440"/>
        <w:rPr>
          <w:sz w:val="24"/>
          <w:szCs w:val="24"/>
        </w:rPr>
      </w:pPr>
      <w:r w:rsidRPr="000D31F3">
        <w:rPr>
          <w:sz w:val="24"/>
          <w:szCs w:val="24"/>
        </w:rPr>
        <w:t>Objective:</w:t>
      </w:r>
      <w:r w:rsidRPr="000D31F3">
        <w:rPr>
          <w:sz w:val="24"/>
          <w:szCs w:val="24"/>
        </w:rPr>
        <w:tab/>
        <w:t>To identify the optimum canola planting date and density for northwestern Montana.</w:t>
      </w:r>
    </w:p>
    <w:p w:rsidR="00640389" w:rsidRPr="000D31F3" w:rsidRDefault="00640389" w:rsidP="00640389">
      <w:pPr>
        <w:pStyle w:val="NoSpacing"/>
        <w:rPr>
          <w:sz w:val="24"/>
          <w:szCs w:val="24"/>
        </w:rPr>
      </w:pPr>
    </w:p>
    <w:p w:rsidR="00640389" w:rsidRPr="000D31F3" w:rsidRDefault="00640389" w:rsidP="00640389">
      <w:pPr>
        <w:pStyle w:val="NoSpacing"/>
        <w:rPr>
          <w:sz w:val="24"/>
          <w:szCs w:val="24"/>
        </w:rPr>
      </w:pPr>
      <w:r w:rsidRPr="000D31F3">
        <w:rPr>
          <w:sz w:val="24"/>
          <w:szCs w:val="24"/>
        </w:rPr>
        <w:t>Materials and Methods:</w:t>
      </w:r>
    </w:p>
    <w:p w:rsidR="00640389" w:rsidRPr="000D31F3" w:rsidRDefault="00640389" w:rsidP="00640389">
      <w:pPr>
        <w:pStyle w:val="NoSpacing"/>
        <w:rPr>
          <w:sz w:val="24"/>
          <w:szCs w:val="24"/>
        </w:rPr>
      </w:pPr>
    </w:p>
    <w:p w:rsidR="00640389" w:rsidRPr="000D31F3" w:rsidRDefault="00640389" w:rsidP="00640389">
      <w:pPr>
        <w:pStyle w:val="NoSpacing"/>
        <w:rPr>
          <w:sz w:val="24"/>
          <w:szCs w:val="24"/>
        </w:rPr>
      </w:pPr>
      <w:r w:rsidRPr="000D31F3">
        <w:rPr>
          <w:sz w:val="24"/>
          <w:szCs w:val="24"/>
        </w:rPr>
        <w:t>The factorial treatment arrangement consisted of two canola varieties, three seeding dates and three plant densities. The two varieties selected were DKL 30-03 and DKL 70-07, representing early and late maturity groups, respectively. The three seeding dates were April 21, May 8</w:t>
      </w:r>
      <w:r w:rsidR="0083018F">
        <w:rPr>
          <w:sz w:val="24"/>
          <w:szCs w:val="24"/>
        </w:rPr>
        <w:t>,</w:t>
      </w:r>
      <w:r w:rsidRPr="000D31F3">
        <w:rPr>
          <w:sz w:val="24"/>
          <w:szCs w:val="24"/>
        </w:rPr>
        <w:t xml:space="preserve"> and May 22. The first seeding date was the earliest date we could get into the field. Subsequent planting dates were </w:t>
      </w:r>
      <w:r w:rsidR="005C2927" w:rsidRPr="000D31F3">
        <w:rPr>
          <w:sz w:val="24"/>
          <w:szCs w:val="24"/>
        </w:rPr>
        <w:t>targeted</w:t>
      </w:r>
      <w:r w:rsidRPr="000D31F3">
        <w:rPr>
          <w:sz w:val="24"/>
          <w:szCs w:val="24"/>
        </w:rPr>
        <w:t xml:space="preserve"> at increments of 300 growing degree days at base 32F (GDD32), which represents the number of GDD necessary for the first true leaves to emerge</w:t>
      </w:r>
      <w:r w:rsidR="000616A0" w:rsidRPr="000D31F3">
        <w:rPr>
          <w:sz w:val="24"/>
          <w:szCs w:val="24"/>
        </w:rPr>
        <w:t xml:space="preserve">. </w:t>
      </w:r>
      <w:r w:rsidR="005C2927" w:rsidRPr="000D31F3">
        <w:rPr>
          <w:sz w:val="24"/>
          <w:szCs w:val="24"/>
        </w:rPr>
        <w:t xml:space="preserve"> 300 </w:t>
      </w:r>
      <w:r w:rsidR="00E07D97" w:rsidRPr="000D31F3">
        <w:rPr>
          <w:sz w:val="24"/>
          <w:szCs w:val="24"/>
        </w:rPr>
        <w:t>GDD</w:t>
      </w:r>
      <w:r w:rsidR="000616A0" w:rsidRPr="000D31F3">
        <w:rPr>
          <w:sz w:val="24"/>
          <w:szCs w:val="24"/>
        </w:rPr>
        <w:t xml:space="preserve"> separated the</w:t>
      </w:r>
      <w:r w:rsidR="005C2927" w:rsidRPr="000D31F3">
        <w:rPr>
          <w:sz w:val="24"/>
          <w:szCs w:val="24"/>
        </w:rPr>
        <w:t xml:space="preserve"> first and second seeding date</w:t>
      </w:r>
      <w:r w:rsidR="000616A0" w:rsidRPr="000D31F3">
        <w:rPr>
          <w:sz w:val="24"/>
          <w:szCs w:val="24"/>
        </w:rPr>
        <w:t xml:space="preserve"> and</w:t>
      </w:r>
      <w:r w:rsidR="005C2927" w:rsidRPr="000D31F3">
        <w:rPr>
          <w:sz w:val="24"/>
          <w:szCs w:val="24"/>
        </w:rPr>
        <w:t xml:space="preserve"> 272 </w:t>
      </w:r>
      <w:r w:rsidR="00E07D97" w:rsidRPr="000D31F3">
        <w:rPr>
          <w:sz w:val="24"/>
          <w:szCs w:val="24"/>
        </w:rPr>
        <w:t>GDD</w:t>
      </w:r>
      <w:r w:rsidR="007B5A61" w:rsidRPr="000D31F3">
        <w:rPr>
          <w:sz w:val="24"/>
          <w:szCs w:val="24"/>
        </w:rPr>
        <w:t xml:space="preserve"> </w:t>
      </w:r>
      <w:r w:rsidR="009B462D">
        <w:rPr>
          <w:sz w:val="24"/>
          <w:szCs w:val="24"/>
        </w:rPr>
        <w:t xml:space="preserve">had </w:t>
      </w:r>
      <w:r w:rsidR="000616A0" w:rsidRPr="000D31F3">
        <w:rPr>
          <w:sz w:val="24"/>
          <w:szCs w:val="24"/>
        </w:rPr>
        <w:t xml:space="preserve">accumulated </w:t>
      </w:r>
      <w:r w:rsidR="005C2927" w:rsidRPr="000D31F3">
        <w:rPr>
          <w:sz w:val="24"/>
          <w:szCs w:val="24"/>
        </w:rPr>
        <w:t>between the second and third date.</w:t>
      </w:r>
      <w:r w:rsidRPr="000D31F3">
        <w:rPr>
          <w:sz w:val="24"/>
          <w:szCs w:val="24"/>
        </w:rPr>
        <w:t xml:space="preserve"> Targeted plant densities were 4, 8</w:t>
      </w:r>
      <w:r w:rsidR="0083018F">
        <w:rPr>
          <w:sz w:val="24"/>
          <w:szCs w:val="24"/>
        </w:rPr>
        <w:t>,</w:t>
      </w:r>
      <w:r w:rsidRPr="000D31F3">
        <w:rPr>
          <w:sz w:val="24"/>
          <w:szCs w:val="24"/>
        </w:rPr>
        <w:t xml:space="preserve"> and 16 plants per square foot. Seeding rates were calculated using the following formula:  lb/A = (9.6 x desired plant density per sqft x thousand kernel weights) / percent survival (Table 1). The experimental design was a split plot randomized complete block with three replications, where the main plot factor was seeding date, and the sub plot factor consisted of plant density and variety combinations.</w:t>
      </w:r>
    </w:p>
    <w:p w:rsidR="00640389" w:rsidRPr="000D31F3" w:rsidRDefault="00640389" w:rsidP="00640389">
      <w:pPr>
        <w:pStyle w:val="NoSpacing"/>
        <w:rPr>
          <w:sz w:val="24"/>
          <w:szCs w:val="24"/>
        </w:rPr>
      </w:pPr>
    </w:p>
    <w:p w:rsidR="00640389" w:rsidRPr="000D31F3" w:rsidRDefault="00640389" w:rsidP="0064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31F3">
        <w:rPr>
          <w:sz w:val="24"/>
          <w:szCs w:val="24"/>
        </w:rPr>
        <w:t xml:space="preserve">Soil test results showed </w:t>
      </w:r>
      <w:r w:rsidRPr="000D31F3">
        <w:rPr>
          <w:rFonts w:ascii="Calibri" w:eastAsia="Times New Roman" w:hAnsi="Calibri" w:cs="Times New Roman"/>
          <w:color w:val="000000"/>
          <w:sz w:val="24"/>
          <w:szCs w:val="24"/>
        </w:rPr>
        <w:t>61-8-180-62</w:t>
      </w:r>
      <w:r w:rsidRPr="000D31F3">
        <w:rPr>
          <w:sz w:val="24"/>
          <w:szCs w:val="24"/>
        </w:rPr>
        <w:t xml:space="preserve"> pounds of available nutrients and a fertilizer blend of </w:t>
      </w:r>
      <w:r w:rsidR="0007471E">
        <w:rPr>
          <w:rFonts w:ascii="Calibri" w:eastAsia="Times New Roman" w:hAnsi="Calibri" w:cs="Times New Roman"/>
          <w:color w:val="000000"/>
          <w:sz w:val="24"/>
          <w:szCs w:val="24"/>
        </w:rPr>
        <w:t>125-35-35-20</w:t>
      </w:r>
      <w:r w:rsidRPr="000D31F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B29AF">
        <w:rPr>
          <w:sz w:val="24"/>
          <w:szCs w:val="24"/>
        </w:rPr>
        <w:t>was broadcast</w:t>
      </w:r>
      <w:r w:rsidRPr="000D31F3">
        <w:rPr>
          <w:sz w:val="24"/>
          <w:szCs w:val="24"/>
        </w:rPr>
        <w:t xml:space="preserve"> and incorporated one day prior to each seeding date. Each seeding date was treated with</w:t>
      </w:r>
      <w:r w:rsidR="00A051DB">
        <w:rPr>
          <w:sz w:val="24"/>
          <w:szCs w:val="24"/>
        </w:rPr>
        <w:t xml:space="preserve"> g</w:t>
      </w:r>
      <w:r w:rsidR="00E11145" w:rsidRPr="000D31F3">
        <w:rPr>
          <w:sz w:val="24"/>
          <w:szCs w:val="24"/>
        </w:rPr>
        <w:t>lyphosate</w:t>
      </w:r>
      <w:r w:rsidR="005C2927" w:rsidRPr="000D31F3">
        <w:rPr>
          <w:sz w:val="24"/>
          <w:szCs w:val="24"/>
        </w:rPr>
        <w:t>, Warrior II</w:t>
      </w:r>
      <w:r w:rsidR="00265582">
        <w:rPr>
          <w:sz w:val="24"/>
          <w:szCs w:val="24"/>
        </w:rPr>
        <w:t>,</w:t>
      </w:r>
      <w:r w:rsidR="005C2927" w:rsidRPr="000D31F3">
        <w:rPr>
          <w:sz w:val="24"/>
          <w:szCs w:val="24"/>
        </w:rPr>
        <w:t xml:space="preserve"> and Quadris</w:t>
      </w:r>
      <w:r w:rsidR="00E11145" w:rsidRPr="000D31F3">
        <w:rPr>
          <w:sz w:val="24"/>
          <w:szCs w:val="24"/>
        </w:rPr>
        <w:t xml:space="preserve"> </w:t>
      </w:r>
      <w:r w:rsidR="009B462D">
        <w:rPr>
          <w:sz w:val="24"/>
          <w:szCs w:val="24"/>
        </w:rPr>
        <w:t>for the control of weeds, insects, and diseases, respectively</w:t>
      </w:r>
      <w:r w:rsidR="005C2927" w:rsidRPr="000D31F3">
        <w:rPr>
          <w:sz w:val="24"/>
          <w:szCs w:val="24"/>
        </w:rPr>
        <w:t>.</w:t>
      </w:r>
    </w:p>
    <w:p w:rsidR="00D94BBF" w:rsidRPr="000D31F3" w:rsidRDefault="00D94BBF" w:rsidP="00640389">
      <w:pPr>
        <w:spacing w:after="0" w:line="240" w:lineRule="auto"/>
        <w:rPr>
          <w:sz w:val="24"/>
          <w:szCs w:val="24"/>
        </w:rPr>
      </w:pPr>
    </w:p>
    <w:p w:rsidR="009479AC" w:rsidRDefault="00E331CF" w:rsidP="006403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economic analysis was performed </w:t>
      </w:r>
      <w:r w:rsidR="00432BE1">
        <w:rPr>
          <w:sz w:val="24"/>
          <w:szCs w:val="24"/>
        </w:rPr>
        <w:t xml:space="preserve">for each treatment </w:t>
      </w:r>
      <w:r>
        <w:rPr>
          <w:sz w:val="24"/>
          <w:szCs w:val="24"/>
        </w:rPr>
        <w:t xml:space="preserve">by calculating </w:t>
      </w:r>
      <w:r w:rsidRPr="00A07FA3">
        <w:rPr>
          <w:sz w:val="24"/>
          <w:szCs w:val="24"/>
        </w:rPr>
        <w:t>adjusted gross return</w:t>
      </w:r>
      <w:r>
        <w:rPr>
          <w:sz w:val="24"/>
          <w:szCs w:val="24"/>
        </w:rPr>
        <w:t xml:space="preserve">s (AGR).  </w:t>
      </w:r>
      <w:r w:rsidRPr="00A07FA3">
        <w:rPr>
          <w:sz w:val="24"/>
          <w:szCs w:val="24"/>
        </w:rPr>
        <w:t xml:space="preserve"> </w:t>
      </w:r>
      <w:r>
        <w:rPr>
          <w:sz w:val="24"/>
          <w:szCs w:val="24"/>
        </w:rPr>
        <w:t>Adjusted gross returns were</w:t>
      </w:r>
      <w:r w:rsidRPr="00A07FA3">
        <w:rPr>
          <w:sz w:val="24"/>
          <w:szCs w:val="24"/>
        </w:rPr>
        <w:t xml:space="preserve"> </w:t>
      </w:r>
      <w:r w:rsidR="00432BE1">
        <w:rPr>
          <w:sz w:val="24"/>
          <w:szCs w:val="24"/>
        </w:rPr>
        <w:t>determined</w:t>
      </w:r>
      <w:r w:rsidRPr="00A07FA3">
        <w:rPr>
          <w:sz w:val="24"/>
          <w:szCs w:val="24"/>
        </w:rPr>
        <w:t xml:space="preserve"> using a market price of $7.75/bu</w:t>
      </w:r>
      <w:r>
        <w:rPr>
          <w:sz w:val="24"/>
          <w:szCs w:val="24"/>
        </w:rPr>
        <w:t>,</w:t>
      </w:r>
      <w:r w:rsidRPr="00A07FA3">
        <w:rPr>
          <w:sz w:val="24"/>
          <w:szCs w:val="24"/>
        </w:rPr>
        <w:t xml:space="preserve"> multiplied by yield</w:t>
      </w:r>
      <w:r>
        <w:rPr>
          <w:sz w:val="24"/>
          <w:szCs w:val="24"/>
        </w:rPr>
        <w:t>,</w:t>
      </w:r>
      <w:r w:rsidRPr="00A07FA3">
        <w:rPr>
          <w:sz w:val="24"/>
          <w:szCs w:val="24"/>
        </w:rPr>
        <w:t xml:space="preserve"> minus the seed cost at $5.00/ lb.</w:t>
      </w: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8E5203" w:rsidP="00640389">
      <w:pPr>
        <w:spacing w:after="0" w:line="240" w:lineRule="auto"/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2pt;width:371.25pt;height:168.75pt;z-index:-251640832;mso-position-horizontal-relative:text;mso-position-vertical-relative:text;mso-width-relative:page;mso-height-relative:page">
            <v:imagedata r:id="rId7" o:title=""/>
          </v:shape>
          <o:OLEObject Type="Embed" ProgID="Excel.Sheet.12" ShapeID="_x0000_s1040" DrawAspect="Content" ObjectID="_1516702234" r:id="rId8"/>
        </w:object>
      </w: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Default="00B43E1E" w:rsidP="00640389">
      <w:pPr>
        <w:spacing w:after="0" w:line="240" w:lineRule="auto"/>
        <w:rPr>
          <w:sz w:val="24"/>
          <w:szCs w:val="24"/>
        </w:rPr>
      </w:pPr>
    </w:p>
    <w:p w:rsidR="00B43E1E" w:rsidRPr="000D31F3" w:rsidRDefault="00B43E1E" w:rsidP="00640389">
      <w:pPr>
        <w:spacing w:after="0" w:line="240" w:lineRule="auto"/>
        <w:rPr>
          <w:sz w:val="24"/>
          <w:szCs w:val="24"/>
        </w:rPr>
      </w:pPr>
    </w:p>
    <w:p w:rsidR="009479AC" w:rsidRDefault="009479AC" w:rsidP="00640389">
      <w:pPr>
        <w:spacing w:after="0" w:line="240" w:lineRule="auto"/>
      </w:pPr>
    </w:p>
    <w:p w:rsidR="008E5203" w:rsidRDefault="00D94BBF" w:rsidP="003B20CF">
      <w:pPr>
        <w:spacing w:line="240" w:lineRule="auto"/>
      </w:pPr>
      <w:r>
        <w:fldChar w:fldCharType="begin"/>
      </w:r>
      <w:r>
        <w:instrText xml:space="preserve"> LINK </w:instrText>
      </w:r>
      <w:r w:rsidR="008E5203">
        <w:instrText xml:space="preserve">Excel.Sheet.12 "\\\\NWARC204\\Cher\\Bob Stougaard\\Studies\\study 2015\\DVD 15\\DVD 2015.xlsx" notes!R10C1:R16C4 </w:instrText>
      </w:r>
      <w:r>
        <w:instrText xml:space="preserve">\a \f 4 \h  \* MERGEFORMAT </w:instrText>
      </w:r>
      <w:r w:rsidR="008E5203">
        <w:fldChar w:fldCharType="separate"/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8E5203" w:rsidRPr="008E5203" w:rsidTr="008E5203">
        <w:trPr>
          <w:divId w:val="1158152901"/>
          <w:trHeight w:val="9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Variety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TKW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Plant/sqft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(lb/ac)</w:t>
            </w:r>
          </w:p>
        </w:tc>
      </w:tr>
      <w:tr w:rsidR="008E5203" w:rsidRPr="008E5203" w:rsidTr="008E5203">
        <w:trPr>
          <w:divId w:val="1158152901"/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30-03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E5203" w:rsidRPr="008E5203" w:rsidTr="008E5203">
        <w:trPr>
          <w:divId w:val="1158152901"/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30-03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8E5203" w:rsidRPr="008E5203" w:rsidTr="008E5203">
        <w:trPr>
          <w:divId w:val="1158152901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30-03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8E5203" w:rsidRPr="008E5203" w:rsidTr="008E5203">
        <w:trPr>
          <w:divId w:val="1158152901"/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70-07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8E5203" w:rsidRPr="008E5203" w:rsidTr="008E5203">
        <w:trPr>
          <w:divId w:val="1158152901"/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70-07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8E5203" w:rsidRPr="008E5203" w:rsidTr="008E5203">
        <w:trPr>
          <w:divId w:val="1158152901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70-07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10.4</w:t>
            </w:r>
          </w:p>
        </w:tc>
      </w:tr>
    </w:tbl>
    <w:p w:rsidR="008E5203" w:rsidRDefault="00D94BBF" w:rsidP="008E5203">
      <w:pPr>
        <w:spacing w:line="240" w:lineRule="auto"/>
      </w:pPr>
      <w:r>
        <w:fldChar w:fldCharType="end"/>
      </w:r>
      <w:r>
        <w:fldChar w:fldCharType="begin"/>
      </w:r>
      <w:r>
        <w:instrText xml:space="preserve"> LINK </w:instrText>
      </w:r>
      <w:r w:rsidR="008E5203">
        <w:instrText xml:space="preserve">Excel.Sheet.12 "\\\\NWARC204\\Cher\\Bob Stougaard\\Studies\\study 2015\\DVD 15\\DVD 2015.xlsx" notes!R10C1:R16C4 </w:instrText>
      </w:r>
      <w:r>
        <w:instrText xml:space="preserve">\a \f 4 \h  \* MERGEFORMAT </w:instrText>
      </w:r>
      <w:r w:rsidR="008E5203">
        <w:fldChar w:fldCharType="separate"/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8E5203" w:rsidRPr="008E5203" w:rsidTr="008E5203">
        <w:trPr>
          <w:divId w:val="501238797"/>
          <w:trHeight w:val="9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TKW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Plant/sqft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(lb/ac)</w:t>
            </w:r>
          </w:p>
        </w:tc>
      </w:tr>
      <w:tr w:rsidR="008E5203" w:rsidRPr="008E5203" w:rsidTr="008E5203">
        <w:trPr>
          <w:divId w:val="501238797"/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30-03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E5203" w:rsidRPr="008E5203" w:rsidTr="008E5203">
        <w:trPr>
          <w:divId w:val="501238797"/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30-03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8E5203" w:rsidRPr="008E5203" w:rsidTr="008E5203">
        <w:trPr>
          <w:divId w:val="501238797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30-03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8E5203" w:rsidRPr="008E5203" w:rsidTr="008E5203">
        <w:trPr>
          <w:divId w:val="501238797"/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70-07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8E5203" w:rsidRPr="008E5203" w:rsidTr="008E5203">
        <w:trPr>
          <w:divId w:val="501238797"/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70-07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8E5203" w:rsidRPr="008E5203" w:rsidTr="008E5203">
        <w:trPr>
          <w:divId w:val="501238797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DKL 70-07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03" w:rsidRPr="008E5203" w:rsidRDefault="008E5203" w:rsidP="008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E5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10.4</w:t>
            </w:r>
          </w:p>
        </w:tc>
      </w:tr>
    </w:tbl>
    <w:p w:rsidR="00D63F04" w:rsidRPr="00083229" w:rsidRDefault="00D94BBF" w:rsidP="00144EFB">
      <w:pPr>
        <w:rPr>
          <w:sz w:val="24"/>
          <w:szCs w:val="24"/>
        </w:rPr>
      </w:pPr>
      <w:r>
        <w:fldChar w:fldCharType="end"/>
      </w:r>
      <w:r w:rsidR="00D63F04" w:rsidRPr="00083229">
        <w:rPr>
          <w:sz w:val="24"/>
          <w:szCs w:val="24"/>
        </w:rPr>
        <w:t>Results:</w:t>
      </w:r>
    </w:p>
    <w:p w:rsidR="00FF5C0A" w:rsidRDefault="00D02FFD">
      <w:pPr>
        <w:rPr>
          <w:sz w:val="24"/>
          <w:szCs w:val="24"/>
        </w:rPr>
      </w:pPr>
      <w:r>
        <w:rPr>
          <w:sz w:val="24"/>
          <w:szCs w:val="24"/>
        </w:rPr>
        <w:t xml:space="preserve">Varietal differences were significant </w:t>
      </w:r>
      <w:r w:rsidR="00D63F04" w:rsidRPr="00083229">
        <w:rPr>
          <w:sz w:val="24"/>
          <w:szCs w:val="24"/>
        </w:rPr>
        <w:t>for</w:t>
      </w:r>
      <w:r w:rsidR="007A0192" w:rsidRPr="00083229">
        <w:rPr>
          <w:sz w:val="24"/>
          <w:szCs w:val="24"/>
        </w:rPr>
        <w:t xml:space="preserve"> </w:t>
      </w:r>
      <w:r w:rsidR="009B462D">
        <w:rPr>
          <w:sz w:val="24"/>
          <w:szCs w:val="24"/>
        </w:rPr>
        <w:t>f</w:t>
      </w:r>
      <w:r w:rsidR="003F6C83">
        <w:rPr>
          <w:sz w:val="24"/>
          <w:szCs w:val="24"/>
        </w:rPr>
        <w:t xml:space="preserve">lowering, physiological maturity, </w:t>
      </w:r>
      <w:r w:rsidR="00D63F04" w:rsidRPr="00083229">
        <w:rPr>
          <w:sz w:val="24"/>
          <w:szCs w:val="24"/>
        </w:rPr>
        <w:t>lo</w:t>
      </w:r>
      <w:r w:rsidR="00F2038F" w:rsidRPr="00083229">
        <w:rPr>
          <w:sz w:val="24"/>
          <w:szCs w:val="24"/>
        </w:rPr>
        <w:t>dging</w:t>
      </w:r>
      <w:r w:rsidR="007A0192" w:rsidRPr="00083229">
        <w:rPr>
          <w:sz w:val="24"/>
          <w:szCs w:val="24"/>
        </w:rPr>
        <w:t>,</w:t>
      </w:r>
      <w:r w:rsidR="003F6C83">
        <w:rPr>
          <w:sz w:val="24"/>
          <w:szCs w:val="24"/>
        </w:rPr>
        <w:t xml:space="preserve"> height, yield,</w:t>
      </w:r>
      <w:r w:rsidR="007B5A61" w:rsidRPr="00083229">
        <w:rPr>
          <w:sz w:val="24"/>
          <w:szCs w:val="24"/>
        </w:rPr>
        <w:t xml:space="preserve"> oil content</w:t>
      </w:r>
      <w:r w:rsidR="006D555C">
        <w:rPr>
          <w:sz w:val="24"/>
          <w:szCs w:val="24"/>
        </w:rPr>
        <w:t>,</w:t>
      </w:r>
      <w:r w:rsidR="003F6C83">
        <w:rPr>
          <w:sz w:val="24"/>
          <w:szCs w:val="24"/>
        </w:rPr>
        <w:t xml:space="preserve"> test weight</w:t>
      </w:r>
      <w:r w:rsidR="006D555C">
        <w:rPr>
          <w:sz w:val="24"/>
          <w:szCs w:val="24"/>
        </w:rPr>
        <w:t>, and adjusted gross re</w:t>
      </w:r>
      <w:r w:rsidR="009B462D">
        <w:rPr>
          <w:sz w:val="24"/>
          <w:szCs w:val="24"/>
        </w:rPr>
        <w:t>turns</w:t>
      </w:r>
      <w:r w:rsidR="007B5A61" w:rsidRPr="00083229">
        <w:rPr>
          <w:sz w:val="24"/>
          <w:szCs w:val="24"/>
        </w:rPr>
        <w:t xml:space="preserve"> (Table 2</w:t>
      </w:r>
      <w:r w:rsidR="00D63F04" w:rsidRPr="00083229">
        <w:rPr>
          <w:sz w:val="24"/>
          <w:szCs w:val="24"/>
        </w:rPr>
        <w:t>). DKL 30-03</w:t>
      </w:r>
      <w:r w:rsidR="009B462D">
        <w:rPr>
          <w:sz w:val="24"/>
          <w:szCs w:val="24"/>
        </w:rPr>
        <w:t xml:space="preserve"> was the earliest maturing variety, reaching flowering and physiological maturity about two days earlier than DK</w:t>
      </w:r>
      <w:r w:rsidR="00DC1DD5">
        <w:rPr>
          <w:sz w:val="24"/>
          <w:szCs w:val="24"/>
        </w:rPr>
        <w:t xml:space="preserve">L </w:t>
      </w:r>
      <w:r w:rsidR="009B462D">
        <w:rPr>
          <w:sz w:val="24"/>
          <w:szCs w:val="24"/>
        </w:rPr>
        <w:t>70-07.</w:t>
      </w:r>
      <w:r>
        <w:rPr>
          <w:sz w:val="24"/>
          <w:szCs w:val="24"/>
        </w:rPr>
        <w:t xml:space="preserve"> </w:t>
      </w:r>
      <w:r w:rsidR="00BA4B66">
        <w:rPr>
          <w:sz w:val="24"/>
          <w:szCs w:val="24"/>
        </w:rPr>
        <w:t xml:space="preserve">Although </w:t>
      </w:r>
      <w:r w:rsidR="00FF5C0A">
        <w:rPr>
          <w:sz w:val="24"/>
          <w:szCs w:val="24"/>
        </w:rPr>
        <w:t xml:space="preserve">DKL </w:t>
      </w:r>
      <w:r w:rsidR="00BA4B66">
        <w:rPr>
          <w:sz w:val="24"/>
          <w:szCs w:val="24"/>
        </w:rPr>
        <w:t xml:space="preserve">30-03 was the shortest variety, it had </w:t>
      </w:r>
      <w:r w:rsidR="00291FE7">
        <w:rPr>
          <w:sz w:val="24"/>
          <w:szCs w:val="24"/>
        </w:rPr>
        <w:t xml:space="preserve">the </w:t>
      </w:r>
      <w:r w:rsidR="00BA4B66">
        <w:rPr>
          <w:sz w:val="24"/>
          <w:szCs w:val="24"/>
        </w:rPr>
        <w:t>greate</w:t>
      </w:r>
      <w:r w:rsidR="00291FE7">
        <w:rPr>
          <w:sz w:val="24"/>
          <w:szCs w:val="24"/>
        </w:rPr>
        <w:t>st</w:t>
      </w:r>
      <w:r w:rsidR="00BA4B66">
        <w:rPr>
          <w:sz w:val="24"/>
          <w:szCs w:val="24"/>
        </w:rPr>
        <w:t xml:space="preserve"> lodging. Biomass was similar between the two varieties, but DKL</w:t>
      </w:r>
      <w:r w:rsidR="00DC1DD5">
        <w:rPr>
          <w:sz w:val="24"/>
          <w:szCs w:val="24"/>
        </w:rPr>
        <w:t xml:space="preserve"> </w:t>
      </w:r>
      <w:r w:rsidR="00BA4B66">
        <w:rPr>
          <w:sz w:val="24"/>
          <w:szCs w:val="24"/>
        </w:rPr>
        <w:t>70-07 out-yielded DKL</w:t>
      </w:r>
      <w:r w:rsidR="00DC1DD5">
        <w:rPr>
          <w:sz w:val="24"/>
          <w:szCs w:val="24"/>
        </w:rPr>
        <w:t xml:space="preserve"> </w:t>
      </w:r>
      <w:r w:rsidR="00BA4B66">
        <w:rPr>
          <w:sz w:val="24"/>
          <w:szCs w:val="24"/>
        </w:rPr>
        <w:t>30-03</w:t>
      </w:r>
      <w:r w:rsidR="00FF5C0A">
        <w:rPr>
          <w:sz w:val="24"/>
          <w:szCs w:val="24"/>
        </w:rPr>
        <w:t xml:space="preserve"> </w:t>
      </w:r>
      <w:r w:rsidR="00CB739A">
        <w:rPr>
          <w:sz w:val="24"/>
          <w:szCs w:val="24"/>
        </w:rPr>
        <w:t xml:space="preserve">by </w:t>
      </w:r>
      <w:r w:rsidR="00FF5C0A">
        <w:rPr>
          <w:sz w:val="24"/>
          <w:szCs w:val="24"/>
        </w:rPr>
        <w:t>7.8 bu/A</w:t>
      </w:r>
      <w:r w:rsidR="00BA4B66">
        <w:rPr>
          <w:sz w:val="24"/>
          <w:szCs w:val="24"/>
        </w:rPr>
        <w:t xml:space="preserve">.  </w:t>
      </w:r>
      <w:r w:rsidR="00291FE7">
        <w:rPr>
          <w:sz w:val="24"/>
          <w:szCs w:val="24"/>
        </w:rPr>
        <w:t xml:space="preserve">At the same time, </w:t>
      </w:r>
      <w:r w:rsidR="00BA4B66">
        <w:rPr>
          <w:sz w:val="24"/>
          <w:szCs w:val="24"/>
        </w:rPr>
        <w:t>DKL</w:t>
      </w:r>
      <w:r w:rsidR="00DC1DD5">
        <w:rPr>
          <w:sz w:val="24"/>
          <w:szCs w:val="24"/>
        </w:rPr>
        <w:t xml:space="preserve"> </w:t>
      </w:r>
      <w:r w:rsidR="00BA4B66">
        <w:rPr>
          <w:sz w:val="24"/>
          <w:szCs w:val="24"/>
        </w:rPr>
        <w:t>70-07 was the most profitable, generating an additional</w:t>
      </w:r>
      <w:r w:rsidR="00CB739A">
        <w:rPr>
          <w:sz w:val="24"/>
          <w:szCs w:val="24"/>
        </w:rPr>
        <w:t xml:space="preserve"> $59</w:t>
      </w:r>
      <w:r w:rsidR="00C742BC">
        <w:rPr>
          <w:sz w:val="24"/>
          <w:szCs w:val="24"/>
        </w:rPr>
        <w:t>.00 per acre</w:t>
      </w:r>
      <w:r w:rsidR="00BA4B66">
        <w:rPr>
          <w:sz w:val="24"/>
          <w:szCs w:val="24"/>
        </w:rPr>
        <w:t xml:space="preserve"> as compared to DK</w:t>
      </w:r>
      <w:r w:rsidR="00DC1DD5">
        <w:rPr>
          <w:sz w:val="24"/>
          <w:szCs w:val="24"/>
        </w:rPr>
        <w:t xml:space="preserve">L </w:t>
      </w:r>
      <w:r w:rsidR="00BA4B66">
        <w:rPr>
          <w:sz w:val="24"/>
          <w:szCs w:val="24"/>
        </w:rPr>
        <w:t>30-03.</w:t>
      </w:r>
      <w:r w:rsidR="00FF5C0A">
        <w:rPr>
          <w:sz w:val="24"/>
          <w:szCs w:val="24"/>
        </w:rPr>
        <w:t xml:space="preserve"> </w:t>
      </w:r>
    </w:p>
    <w:p w:rsidR="00FB0444" w:rsidRDefault="00DC1DD5">
      <w:pPr>
        <w:rPr>
          <w:sz w:val="24"/>
          <w:szCs w:val="24"/>
        </w:rPr>
      </w:pPr>
      <w:r>
        <w:rPr>
          <w:sz w:val="24"/>
          <w:szCs w:val="24"/>
        </w:rPr>
        <w:t>The plant density</w:t>
      </w:r>
      <w:r w:rsidR="00291FE7">
        <w:rPr>
          <w:sz w:val="24"/>
          <w:szCs w:val="24"/>
        </w:rPr>
        <w:t xml:space="preserve"> counts were taken prior to bolt (STAND 1) and at pod fill (STAND 2). The populations obtained in the field were</w:t>
      </w:r>
      <w:r w:rsidR="000D112A">
        <w:rPr>
          <w:sz w:val="24"/>
          <w:szCs w:val="24"/>
        </w:rPr>
        <w:t>,</w:t>
      </w:r>
      <w:r w:rsidR="00291FE7">
        <w:rPr>
          <w:sz w:val="24"/>
          <w:szCs w:val="24"/>
        </w:rPr>
        <w:t xml:space="preserve"> on average</w:t>
      </w:r>
      <w:r w:rsidR="000D112A">
        <w:rPr>
          <w:sz w:val="24"/>
          <w:szCs w:val="24"/>
        </w:rPr>
        <w:t>,</w:t>
      </w:r>
      <w:r w:rsidR="00291FE7">
        <w:rPr>
          <w:sz w:val="24"/>
          <w:szCs w:val="24"/>
        </w:rPr>
        <w:t xml:space="preserve"> very close to the targeted populations of 4, 8, and 16 plants/sqft (Table 3).  </w:t>
      </w:r>
      <w:r w:rsidR="00F64800" w:rsidRPr="00F10413">
        <w:rPr>
          <w:sz w:val="24"/>
          <w:szCs w:val="24"/>
        </w:rPr>
        <w:t>The</w:t>
      </w:r>
      <w:r w:rsidR="00F10413">
        <w:rPr>
          <w:sz w:val="24"/>
          <w:szCs w:val="24"/>
        </w:rPr>
        <w:t xml:space="preserve"> main effect of plant density </w:t>
      </w:r>
      <w:r w:rsidR="00BE4DD7">
        <w:rPr>
          <w:sz w:val="24"/>
          <w:szCs w:val="24"/>
        </w:rPr>
        <w:t xml:space="preserve">had significant effects on </w:t>
      </w:r>
      <w:r w:rsidR="000D112A">
        <w:rPr>
          <w:sz w:val="24"/>
          <w:szCs w:val="24"/>
        </w:rPr>
        <w:t>several variables</w:t>
      </w:r>
      <w:r w:rsidR="00BE4DD7">
        <w:rPr>
          <w:sz w:val="24"/>
          <w:szCs w:val="24"/>
        </w:rPr>
        <w:t xml:space="preserve">. </w:t>
      </w:r>
      <w:r w:rsidR="000D112A">
        <w:rPr>
          <w:sz w:val="24"/>
          <w:szCs w:val="24"/>
        </w:rPr>
        <w:t xml:space="preserve">As density increased, flowering was delayed, plant height decreased, and lodging tended to increase. </w:t>
      </w:r>
      <w:r w:rsidR="00BE4DD7">
        <w:rPr>
          <w:sz w:val="24"/>
          <w:szCs w:val="24"/>
        </w:rPr>
        <w:t>However, due to the plastic nature of canola</w:t>
      </w:r>
      <w:r w:rsidR="000D112A">
        <w:rPr>
          <w:sz w:val="24"/>
          <w:szCs w:val="24"/>
        </w:rPr>
        <w:t>,</w:t>
      </w:r>
      <w:r w:rsidR="00BE4DD7">
        <w:rPr>
          <w:sz w:val="24"/>
          <w:szCs w:val="24"/>
        </w:rPr>
        <w:t xml:space="preserve"> plant density provide</w:t>
      </w:r>
      <w:r w:rsidR="00AC76EC">
        <w:rPr>
          <w:sz w:val="24"/>
          <w:szCs w:val="24"/>
        </w:rPr>
        <w:t>d</w:t>
      </w:r>
      <w:r w:rsidR="00BE4DD7">
        <w:rPr>
          <w:sz w:val="24"/>
          <w:szCs w:val="24"/>
        </w:rPr>
        <w:t xml:space="preserve"> no detectable differences in yield or biomass. </w:t>
      </w:r>
      <w:r w:rsidR="000D112A">
        <w:rPr>
          <w:sz w:val="24"/>
          <w:szCs w:val="24"/>
        </w:rPr>
        <w:t xml:space="preserve"> The most profitable seeding rate was 8 plants/sqft, but this was not statistically significant.</w:t>
      </w:r>
    </w:p>
    <w:p w:rsidR="00265582" w:rsidRDefault="00A33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 the three main effects, seeding date had the </w:t>
      </w:r>
      <w:r w:rsidR="000D112A">
        <w:rPr>
          <w:sz w:val="24"/>
          <w:szCs w:val="24"/>
        </w:rPr>
        <w:t>greatest</w:t>
      </w:r>
      <w:r>
        <w:rPr>
          <w:sz w:val="24"/>
          <w:szCs w:val="24"/>
        </w:rPr>
        <w:t xml:space="preserve"> influence on </w:t>
      </w:r>
      <w:r w:rsidR="008949F4">
        <w:rPr>
          <w:sz w:val="24"/>
          <w:szCs w:val="24"/>
        </w:rPr>
        <w:t>canola emergence rate.   As seeding date was delayed, emergence rate increased from a low of 20 da</w:t>
      </w:r>
      <w:r w:rsidR="00DC1DD5">
        <w:rPr>
          <w:sz w:val="24"/>
          <w:szCs w:val="24"/>
        </w:rPr>
        <w:t xml:space="preserve">ys after </w:t>
      </w:r>
      <w:r w:rsidR="008949F4">
        <w:rPr>
          <w:sz w:val="24"/>
          <w:szCs w:val="24"/>
        </w:rPr>
        <w:t>p</w:t>
      </w:r>
      <w:r w:rsidR="00DC1DD5">
        <w:rPr>
          <w:sz w:val="24"/>
          <w:szCs w:val="24"/>
        </w:rPr>
        <w:t>lanting (dap)</w:t>
      </w:r>
      <w:r w:rsidR="008949F4">
        <w:rPr>
          <w:sz w:val="24"/>
          <w:szCs w:val="24"/>
        </w:rPr>
        <w:t xml:space="preserve"> at the first planting to a high of 6.8 dap at the third planting (Table 4).  </w:t>
      </w:r>
      <w:r>
        <w:rPr>
          <w:sz w:val="24"/>
          <w:szCs w:val="24"/>
        </w:rPr>
        <w:t xml:space="preserve"> </w:t>
      </w:r>
      <w:r w:rsidR="008949F4">
        <w:rPr>
          <w:sz w:val="24"/>
          <w:szCs w:val="24"/>
        </w:rPr>
        <w:t xml:space="preserve">It is likely that soil temperature during germination influenced emergence rate. The average 2 inch soil temperature from time of seeding to 50% emergence for the three seeding dates were 48.9°F, 54.2°F, and 60.8° Fahrenheit.  </w:t>
      </w:r>
    </w:p>
    <w:p w:rsidR="00717B9F" w:rsidRDefault="008949F4">
      <w:pPr>
        <w:rPr>
          <w:sz w:val="24"/>
          <w:szCs w:val="24"/>
        </w:rPr>
      </w:pPr>
      <w:r>
        <w:rPr>
          <w:sz w:val="24"/>
          <w:szCs w:val="24"/>
        </w:rPr>
        <w:t xml:space="preserve">Seeding date also had an effect of plant stand. </w:t>
      </w:r>
      <w:r w:rsidR="00A33DCD">
        <w:rPr>
          <w:sz w:val="24"/>
          <w:szCs w:val="24"/>
        </w:rPr>
        <w:t xml:space="preserve">The </w:t>
      </w:r>
      <w:r w:rsidR="00AC76EC">
        <w:rPr>
          <w:sz w:val="24"/>
          <w:szCs w:val="24"/>
        </w:rPr>
        <w:t>second seeding on May 8</w:t>
      </w:r>
      <w:r w:rsidR="00A33DCD">
        <w:rPr>
          <w:sz w:val="24"/>
          <w:szCs w:val="24"/>
        </w:rPr>
        <w:t xml:space="preserve"> provided the greatest average plant density at 13.7 plants/sqft</w:t>
      </w:r>
      <w:r w:rsidR="000D112A">
        <w:rPr>
          <w:sz w:val="24"/>
          <w:szCs w:val="24"/>
        </w:rPr>
        <w:t>,</w:t>
      </w:r>
      <w:r w:rsidR="00A33DCD">
        <w:rPr>
          <w:sz w:val="24"/>
          <w:szCs w:val="24"/>
        </w:rPr>
        <w:t xml:space="preserve"> which is approximately 4 plants/sqft greater than either of the other two seeding dates. </w:t>
      </w:r>
    </w:p>
    <w:p w:rsidR="009E0D2A" w:rsidRDefault="009E0D2A">
      <w:pPr>
        <w:rPr>
          <w:sz w:val="24"/>
          <w:szCs w:val="24"/>
        </w:rPr>
      </w:pPr>
      <w:r w:rsidRPr="00083229">
        <w:rPr>
          <w:sz w:val="24"/>
          <w:szCs w:val="24"/>
        </w:rPr>
        <w:t>The main effect of s</w:t>
      </w:r>
      <w:r>
        <w:rPr>
          <w:sz w:val="24"/>
          <w:szCs w:val="24"/>
        </w:rPr>
        <w:t xml:space="preserve">eeding date also influenced flowering, </w:t>
      </w:r>
      <w:r w:rsidRPr="00083229">
        <w:rPr>
          <w:sz w:val="24"/>
          <w:szCs w:val="24"/>
        </w:rPr>
        <w:t xml:space="preserve">physiological </w:t>
      </w:r>
      <w:r>
        <w:rPr>
          <w:sz w:val="24"/>
          <w:szCs w:val="24"/>
        </w:rPr>
        <w:t>maturit</w:t>
      </w:r>
      <w:r w:rsidRPr="00D57873">
        <w:rPr>
          <w:sz w:val="24"/>
          <w:szCs w:val="24"/>
        </w:rPr>
        <w:t xml:space="preserve">y, </w:t>
      </w:r>
      <w:r w:rsidRPr="006D555C">
        <w:rPr>
          <w:sz w:val="24"/>
          <w:szCs w:val="24"/>
        </w:rPr>
        <w:t>stand</w:t>
      </w:r>
      <w:r w:rsidRPr="00D578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3229">
        <w:rPr>
          <w:sz w:val="24"/>
          <w:szCs w:val="24"/>
        </w:rPr>
        <w:t>height, yield, biomass</w:t>
      </w:r>
      <w:r>
        <w:rPr>
          <w:sz w:val="24"/>
          <w:szCs w:val="24"/>
        </w:rPr>
        <w:t>,</w:t>
      </w:r>
      <w:r w:rsidRPr="00083229">
        <w:rPr>
          <w:sz w:val="24"/>
          <w:szCs w:val="24"/>
        </w:rPr>
        <w:t xml:space="preserve"> </w:t>
      </w:r>
      <w:r>
        <w:rPr>
          <w:sz w:val="24"/>
          <w:szCs w:val="24"/>
        </w:rPr>
        <w:t>test weight, and adjusted gross return</w:t>
      </w:r>
      <w:r w:rsidRPr="00083229">
        <w:rPr>
          <w:sz w:val="24"/>
          <w:szCs w:val="24"/>
        </w:rPr>
        <w:t xml:space="preserve"> (Table 4). </w:t>
      </w:r>
      <w:r>
        <w:rPr>
          <w:sz w:val="24"/>
          <w:szCs w:val="24"/>
        </w:rPr>
        <w:t xml:space="preserve"> As seeding date became later, plants matured and developed more quickly.  However, plant height, biomass, yield, test weight and adjusted gross returns all decreased</w:t>
      </w:r>
      <w:r w:rsidR="00D00E13">
        <w:rPr>
          <w:sz w:val="24"/>
          <w:szCs w:val="24"/>
        </w:rPr>
        <w:t>.</w:t>
      </w:r>
    </w:p>
    <w:p w:rsidR="009E0D2A" w:rsidRDefault="009E0D2A" w:rsidP="009E0D2A">
      <w:pPr>
        <w:rPr>
          <w:sz w:val="24"/>
          <w:szCs w:val="24"/>
        </w:rPr>
      </w:pPr>
      <w:r>
        <w:rPr>
          <w:sz w:val="24"/>
          <w:szCs w:val="24"/>
        </w:rPr>
        <w:t>Summary:</w:t>
      </w:r>
    </w:p>
    <w:p w:rsidR="009E0D2A" w:rsidRDefault="009E0D2A" w:rsidP="00D7739F">
      <w:pPr>
        <w:rPr>
          <w:sz w:val="24"/>
          <w:szCs w:val="24"/>
        </w:rPr>
        <w:sectPr w:rsidR="009E0D2A" w:rsidSect="000436B8">
          <w:footerReference w:type="default" r:id="rId9"/>
          <w:pgSz w:w="12240" w:h="15840"/>
          <w:pgMar w:top="1440" w:right="1440" w:bottom="1440" w:left="1440" w:header="720" w:footer="720" w:gutter="0"/>
          <w:pgNumType w:start="69"/>
          <w:cols w:space="720"/>
          <w:docGrid w:linePitch="360"/>
        </w:sectPr>
      </w:pPr>
      <w:r>
        <w:rPr>
          <w:sz w:val="24"/>
          <w:szCs w:val="24"/>
        </w:rPr>
        <w:t xml:space="preserve">In summary, the highest seed quality, greatest yield and adjusted gross return </w:t>
      </w:r>
      <w:r w:rsidRPr="00C36597">
        <w:rPr>
          <w:sz w:val="24"/>
          <w:szCs w:val="24"/>
        </w:rPr>
        <w:t>was afforded with the earliest seeding date despite the overall delay in crop development (Table 4). When faced with the decision of having to plant late or re-plant a field, one needs to know what the expected yield is for a particular field a</w:t>
      </w:r>
      <w:r>
        <w:rPr>
          <w:sz w:val="24"/>
          <w:szCs w:val="24"/>
        </w:rPr>
        <w:t>nd estimate a yield reduction of approximately</w:t>
      </w:r>
      <w:r w:rsidRPr="00C36597">
        <w:rPr>
          <w:sz w:val="24"/>
          <w:szCs w:val="24"/>
        </w:rPr>
        <w:t xml:space="preserve"> 30% for a late May seeding date.</w:t>
      </w:r>
      <w:r w:rsidRPr="00083229">
        <w:rPr>
          <w:sz w:val="24"/>
          <w:szCs w:val="24"/>
        </w:rPr>
        <w:t xml:space="preserve"> </w:t>
      </w:r>
    </w:p>
    <w:p w:rsidR="00C9345F" w:rsidRDefault="00B26EA4" w:rsidP="00605E84">
      <w:pPr>
        <w:rPr>
          <w:sz w:val="24"/>
          <w:szCs w:val="24"/>
        </w:rPr>
        <w:sectPr w:rsidR="00C9345F" w:rsidSect="00C9345F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4A4AB9" wp14:editId="3F21921E">
                <wp:simplePos x="0" y="0"/>
                <wp:positionH relativeFrom="column">
                  <wp:posOffset>-723331</wp:posOffset>
                </wp:positionH>
                <wp:positionV relativeFrom="margin">
                  <wp:align>center</wp:align>
                </wp:positionV>
                <wp:extent cx="409432" cy="3684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A4" w:rsidRDefault="000436B8">
                            <w: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A4A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6.95pt;margin-top:0;width:32.25pt;height:29pt;z-index:25167667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" filled="f" stroked="f" strokeweight=".5pt">
                <v:textbox style="layout-flow:vertical">
                  <w:txbxContent>
                    <w:p w:rsidR="00B26EA4" w:rsidRDefault="000436B8">
                      <w:r>
                        <w:t>71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E5203">
        <w:rPr>
          <w:noProof/>
          <w:sz w:val="24"/>
          <w:szCs w:val="24"/>
        </w:rPr>
        <w:object w:dxaOrig="1440" w:dyaOrig="1440">
          <v:shape id="_x0000_s1036" type="#_x0000_t75" style="position:absolute;margin-left:0;margin-top:0;width:644.5pt;height:414.1pt;z-index:-251649024;mso-position-horizontal:center;mso-position-horizontal-relative:margin;mso-position-vertical:center;mso-position-vertical-relative:margin;mso-width-relative:page;mso-height-relative:page">
            <v:imagedata r:id="rId11" o:title=""/>
            <w10:wrap anchorx="margin" anchory="margin"/>
          </v:shape>
          <o:OLEObject Type="Embed" ProgID="Excel.Sheet.12" ShapeID="_x0000_s1036" DrawAspect="Content" ObjectID="_1516702235" r:id="rId12"/>
        </w:object>
      </w:r>
    </w:p>
    <w:p w:rsidR="00605E84" w:rsidRDefault="00605E84" w:rsidP="00605E84">
      <w:pPr>
        <w:rPr>
          <w:sz w:val="24"/>
          <w:szCs w:val="24"/>
        </w:rPr>
      </w:pPr>
    </w:p>
    <w:p w:rsidR="00605E84" w:rsidRDefault="00B26EA4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EF6CDB" wp14:editId="4D2FCCDF">
                <wp:simplePos x="0" y="0"/>
                <wp:positionH relativeFrom="column">
                  <wp:posOffset>-652647</wp:posOffset>
                </wp:positionH>
                <wp:positionV relativeFrom="margin">
                  <wp:align>center</wp:align>
                </wp:positionV>
                <wp:extent cx="409432" cy="36848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A4" w:rsidRDefault="000436B8" w:rsidP="00B26EA4"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F6CDB" id="Text Box 4" o:spid="_x0000_s1027" type="#_x0000_t202" style="position:absolute;margin-left:-51.4pt;margin-top:0;width:32.25pt;height:29pt;z-index:25168281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" filled="f" stroked="f" strokeweight=".5pt">
                <v:textbox style="layout-flow:vertical">
                  <w:txbxContent>
                    <w:p w:rsidR="00B26EA4" w:rsidRDefault="000436B8" w:rsidP="00B26EA4">
                      <w:r>
                        <w:t>72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E5203">
        <w:rPr>
          <w:noProof/>
          <w:sz w:val="24"/>
          <w:szCs w:val="24"/>
        </w:rPr>
        <w:object w:dxaOrig="1440" w:dyaOrig="1440">
          <v:shape id="_x0000_s1037" type="#_x0000_t75" style="position:absolute;margin-left:0;margin-top:0;width:644.5pt;height:443.65pt;z-index:-251646976;mso-position-horizontal:center;mso-position-horizontal-relative:margin;mso-position-vertical:center;mso-position-vertical-relative:margin;mso-width-relative:page;mso-height-relative:page">
            <v:imagedata r:id="rId13" o:title=""/>
            <w10:wrap anchorx="margin" anchory="margin"/>
          </v:shape>
          <o:OLEObject Type="Embed" ProgID="Excel.Sheet.12" ShapeID="_x0000_s1037" DrawAspect="Content" ObjectID="_1516702236" r:id="rId14"/>
        </w:object>
      </w:r>
      <w:r w:rsidR="00605E84">
        <w:rPr>
          <w:sz w:val="24"/>
          <w:szCs w:val="24"/>
        </w:rPr>
        <w:br w:type="page"/>
      </w:r>
    </w:p>
    <w:p w:rsidR="00605E84" w:rsidRDefault="00605E84" w:rsidP="00605E84">
      <w:pPr>
        <w:rPr>
          <w:sz w:val="24"/>
          <w:szCs w:val="24"/>
        </w:rPr>
      </w:pPr>
    </w:p>
    <w:p w:rsidR="00605E84" w:rsidRDefault="00B26EA4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3F55C" wp14:editId="0488A0F8">
                <wp:simplePos x="0" y="0"/>
                <wp:positionH relativeFrom="column">
                  <wp:posOffset>-612301</wp:posOffset>
                </wp:positionH>
                <wp:positionV relativeFrom="margin">
                  <wp:align>center</wp:align>
                </wp:positionV>
                <wp:extent cx="409432" cy="3684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A4" w:rsidRDefault="000436B8" w:rsidP="00B26EA4">
                            <w: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3F55C" id="Text Box 2" o:spid="_x0000_s1028" type="#_x0000_t202" style="position:absolute;margin-left:-48.2pt;margin-top:0;width:32.25pt;height:29pt;z-index:251678720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" filled="f" stroked="f" strokeweight=".5pt">
                <v:textbox style="layout-flow:vertical">
                  <w:txbxContent>
                    <w:p w:rsidR="00B26EA4" w:rsidRDefault="000436B8" w:rsidP="00B26EA4">
                      <w:r>
                        <w:t>73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E5203">
        <w:rPr>
          <w:noProof/>
          <w:sz w:val="24"/>
          <w:szCs w:val="24"/>
        </w:rPr>
        <w:object w:dxaOrig="1440" w:dyaOrig="1440">
          <v:shape id="_x0000_s1038" type="#_x0000_t75" style="position:absolute;margin-left:0;margin-top:0;width:644.5pt;height:296.35pt;z-index:-251644928;mso-position-horizontal:center;mso-position-horizontal-relative:margin;mso-position-vertical:center;mso-position-vertical-relative:margin;mso-width-relative:page;mso-height-relative:page">
            <v:imagedata r:id="rId15" o:title=""/>
            <w10:wrap anchorx="margin" anchory="margin"/>
          </v:shape>
          <o:OLEObject Type="Embed" ProgID="Excel.Sheet.12" ShapeID="_x0000_s1038" DrawAspect="Content" ObjectID="_1516702237" r:id="rId16"/>
        </w:object>
      </w:r>
      <w:r w:rsidR="00605E84">
        <w:rPr>
          <w:sz w:val="24"/>
          <w:szCs w:val="24"/>
        </w:rPr>
        <w:br w:type="page"/>
      </w:r>
    </w:p>
    <w:p w:rsidR="00AE1768" w:rsidRPr="00083229" w:rsidRDefault="00B26EA4" w:rsidP="00605E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519D7" wp14:editId="0CCD2DFE">
                <wp:simplePos x="0" y="0"/>
                <wp:positionH relativeFrom="column">
                  <wp:posOffset>-557340</wp:posOffset>
                </wp:positionH>
                <wp:positionV relativeFrom="margin">
                  <wp:align>center</wp:align>
                </wp:positionV>
                <wp:extent cx="409432" cy="3684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A4" w:rsidRDefault="000436B8" w:rsidP="00B26EA4">
                            <w: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519D7" id="Text Box 3" o:spid="_x0000_s1029" type="#_x0000_t202" style="position:absolute;margin-left:-43.9pt;margin-top:0;width:32.25pt;height:29pt;z-index:25168076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" filled="f" stroked="f" strokeweight=".5pt">
                <v:textbox style="layout-flow:vertical">
                  <w:txbxContent>
                    <w:p w:rsidR="00B26EA4" w:rsidRDefault="000436B8" w:rsidP="00B26EA4">
                      <w:r>
                        <w:t>74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8E5203">
        <w:rPr>
          <w:noProof/>
          <w:sz w:val="24"/>
          <w:szCs w:val="24"/>
        </w:rPr>
        <w:object w:dxaOrig="1440" w:dyaOrig="1440">
          <v:shape id="_x0000_s1039" type="#_x0000_t75" style="position:absolute;margin-left:0;margin-top:0;width:610.2pt;height:493.6pt;z-index:-251642880;mso-position-horizontal:center;mso-position-horizontal-relative:margin;mso-position-vertical:center;mso-position-vertical-relative:margin;mso-width-relative:page;mso-height-relative:page">
            <v:imagedata r:id="rId17" o:title=""/>
            <w10:wrap anchorx="margin" anchory="margin"/>
          </v:shape>
          <o:OLEObject Type="Embed" ProgID="Excel.Sheet.12" ShapeID="_x0000_s1039" DrawAspect="Content" ObjectID="_1516702238" r:id="rId18"/>
        </w:object>
      </w:r>
    </w:p>
    <w:sectPr w:rsidR="00AE1768" w:rsidRPr="00083229" w:rsidSect="00C934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43" w:rsidRDefault="00494243" w:rsidP="00494243">
      <w:pPr>
        <w:spacing w:after="0" w:line="240" w:lineRule="auto"/>
      </w:pPr>
      <w:r>
        <w:separator/>
      </w:r>
    </w:p>
  </w:endnote>
  <w:endnote w:type="continuationSeparator" w:id="0">
    <w:p w:rsidR="00494243" w:rsidRDefault="00494243" w:rsidP="0049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341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707" w:rsidRDefault="00154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03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494243" w:rsidRDefault="00494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35" w:rsidRDefault="00155435">
    <w:pPr>
      <w:pStyle w:val="Footer"/>
      <w:jc w:val="center"/>
    </w:pPr>
  </w:p>
  <w:p w:rsidR="00155435" w:rsidRDefault="00155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43" w:rsidRDefault="00494243" w:rsidP="00494243">
      <w:pPr>
        <w:spacing w:after="0" w:line="240" w:lineRule="auto"/>
      </w:pPr>
      <w:r>
        <w:separator/>
      </w:r>
    </w:p>
  </w:footnote>
  <w:footnote w:type="continuationSeparator" w:id="0">
    <w:p w:rsidR="00494243" w:rsidRDefault="00494243" w:rsidP="0049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89"/>
    <w:rsid w:val="00017486"/>
    <w:rsid w:val="00020073"/>
    <w:rsid w:val="000436B8"/>
    <w:rsid w:val="000616A0"/>
    <w:rsid w:val="000675AF"/>
    <w:rsid w:val="0007059B"/>
    <w:rsid w:val="0007471E"/>
    <w:rsid w:val="0007642E"/>
    <w:rsid w:val="00081B65"/>
    <w:rsid w:val="00083229"/>
    <w:rsid w:val="00091C4C"/>
    <w:rsid w:val="000B060A"/>
    <w:rsid w:val="000D112A"/>
    <w:rsid w:val="000D31F3"/>
    <w:rsid w:val="000F268A"/>
    <w:rsid w:val="000F4481"/>
    <w:rsid w:val="00144EFB"/>
    <w:rsid w:val="00154707"/>
    <w:rsid w:val="00155435"/>
    <w:rsid w:val="001572B9"/>
    <w:rsid w:val="00171050"/>
    <w:rsid w:val="001772A7"/>
    <w:rsid w:val="00185698"/>
    <w:rsid w:val="001C3895"/>
    <w:rsid w:val="001D2628"/>
    <w:rsid w:val="002227D7"/>
    <w:rsid w:val="00243CA0"/>
    <w:rsid w:val="00265582"/>
    <w:rsid w:val="0027192C"/>
    <w:rsid w:val="00291FE7"/>
    <w:rsid w:val="002B11FD"/>
    <w:rsid w:val="002B29AF"/>
    <w:rsid w:val="002C5C2D"/>
    <w:rsid w:val="002F34E9"/>
    <w:rsid w:val="002F7DCA"/>
    <w:rsid w:val="00323D4F"/>
    <w:rsid w:val="00345045"/>
    <w:rsid w:val="00355EF4"/>
    <w:rsid w:val="003B170E"/>
    <w:rsid w:val="003B20CF"/>
    <w:rsid w:val="003F6C83"/>
    <w:rsid w:val="00432BE1"/>
    <w:rsid w:val="004358B9"/>
    <w:rsid w:val="00447DFD"/>
    <w:rsid w:val="004709E3"/>
    <w:rsid w:val="00494243"/>
    <w:rsid w:val="004C0758"/>
    <w:rsid w:val="004D3E65"/>
    <w:rsid w:val="004D3F62"/>
    <w:rsid w:val="00544CE5"/>
    <w:rsid w:val="00562C08"/>
    <w:rsid w:val="00581E12"/>
    <w:rsid w:val="005936B6"/>
    <w:rsid w:val="005C2927"/>
    <w:rsid w:val="005C6C4A"/>
    <w:rsid w:val="005E3D91"/>
    <w:rsid w:val="006042AE"/>
    <w:rsid w:val="00605E84"/>
    <w:rsid w:val="00611500"/>
    <w:rsid w:val="00626B33"/>
    <w:rsid w:val="00640389"/>
    <w:rsid w:val="00696BE8"/>
    <w:rsid w:val="006A203D"/>
    <w:rsid w:val="006C46E6"/>
    <w:rsid w:val="006D555C"/>
    <w:rsid w:val="00700582"/>
    <w:rsid w:val="00717B9F"/>
    <w:rsid w:val="00734DD3"/>
    <w:rsid w:val="00750FFF"/>
    <w:rsid w:val="007A0192"/>
    <w:rsid w:val="007A79EB"/>
    <w:rsid w:val="007B5A61"/>
    <w:rsid w:val="007F760A"/>
    <w:rsid w:val="00821350"/>
    <w:rsid w:val="0083018F"/>
    <w:rsid w:val="00832BFB"/>
    <w:rsid w:val="00834288"/>
    <w:rsid w:val="00870EA0"/>
    <w:rsid w:val="00876B59"/>
    <w:rsid w:val="008949F4"/>
    <w:rsid w:val="008A084B"/>
    <w:rsid w:val="008E5203"/>
    <w:rsid w:val="009268FC"/>
    <w:rsid w:val="00936EFD"/>
    <w:rsid w:val="009479AC"/>
    <w:rsid w:val="00950891"/>
    <w:rsid w:val="009757B3"/>
    <w:rsid w:val="009B215A"/>
    <w:rsid w:val="009B462D"/>
    <w:rsid w:val="009E0D2A"/>
    <w:rsid w:val="009F3DC1"/>
    <w:rsid w:val="00A00149"/>
    <w:rsid w:val="00A051DB"/>
    <w:rsid w:val="00A07948"/>
    <w:rsid w:val="00A07FA3"/>
    <w:rsid w:val="00A23274"/>
    <w:rsid w:val="00A32C71"/>
    <w:rsid w:val="00A33DCD"/>
    <w:rsid w:val="00A8354D"/>
    <w:rsid w:val="00A85C52"/>
    <w:rsid w:val="00A9563F"/>
    <w:rsid w:val="00AC76EC"/>
    <w:rsid w:val="00AE1652"/>
    <w:rsid w:val="00AE1768"/>
    <w:rsid w:val="00AE1DA7"/>
    <w:rsid w:val="00AF2ACF"/>
    <w:rsid w:val="00B14DFF"/>
    <w:rsid w:val="00B22EB5"/>
    <w:rsid w:val="00B23864"/>
    <w:rsid w:val="00B26EA4"/>
    <w:rsid w:val="00B273EB"/>
    <w:rsid w:val="00B4001D"/>
    <w:rsid w:val="00B43E1E"/>
    <w:rsid w:val="00BA4B66"/>
    <w:rsid w:val="00BC1E22"/>
    <w:rsid w:val="00BE4DD7"/>
    <w:rsid w:val="00BE56B2"/>
    <w:rsid w:val="00C04072"/>
    <w:rsid w:val="00C36597"/>
    <w:rsid w:val="00C57C5D"/>
    <w:rsid w:val="00C742BC"/>
    <w:rsid w:val="00C7515B"/>
    <w:rsid w:val="00C8785F"/>
    <w:rsid w:val="00C9345F"/>
    <w:rsid w:val="00CB739A"/>
    <w:rsid w:val="00CE5ECF"/>
    <w:rsid w:val="00CF11A5"/>
    <w:rsid w:val="00D00E13"/>
    <w:rsid w:val="00D02FFD"/>
    <w:rsid w:val="00D57873"/>
    <w:rsid w:val="00D62BCB"/>
    <w:rsid w:val="00D63F04"/>
    <w:rsid w:val="00D73F6E"/>
    <w:rsid w:val="00D7739F"/>
    <w:rsid w:val="00D94BBF"/>
    <w:rsid w:val="00DA7819"/>
    <w:rsid w:val="00DC1DD5"/>
    <w:rsid w:val="00DE3BA3"/>
    <w:rsid w:val="00DE5208"/>
    <w:rsid w:val="00E04D1E"/>
    <w:rsid w:val="00E07D97"/>
    <w:rsid w:val="00E11145"/>
    <w:rsid w:val="00E211C5"/>
    <w:rsid w:val="00E3102B"/>
    <w:rsid w:val="00E331CF"/>
    <w:rsid w:val="00E50179"/>
    <w:rsid w:val="00E7269E"/>
    <w:rsid w:val="00E72E75"/>
    <w:rsid w:val="00E73C18"/>
    <w:rsid w:val="00EA64BE"/>
    <w:rsid w:val="00EB464B"/>
    <w:rsid w:val="00EB54D8"/>
    <w:rsid w:val="00EC609B"/>
    <w:rsid w:val="00EE1970"/>
    <w:rsid w:val="00EE5209"/>
    <w:rsid w:val="00EF36F4"/>
    <w:rsid w:val="00EF67D4"/>
    <w:rsid w:val="00EF6D51"/>
    <w:rsid w:val="00F036CE"/>
    <w:rsid w:val="00F10413"/>
    <w:rsid w:val="00F2038F"/>
    <w:rsid w:val="00F32E81"/>
    <w:rsid w:val="00F37457"/>
    <w:rsid w:val="00F5381A"/>
    <w:rsid w:val="00F62773"/>
    <w:rsid w:val="00F64800"/>
    <w:rsid w:val="00F750CB"/>
    <w:rsid w:val="00F86474"/>
    <w:rsid w:val="00FB0444"/>
    <w:rsid w:val="00FC1482"/>
    <w:rsid w:val="00FF176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C974D8A-51BF-4C74-ADDC-F34B1FDF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389"/>
    <w:pPr>
      <w:spacing w:after="0" w:line="240" w:lineRule="auto"/>
    </w:pPr>
  </w:style>
  <w:style w:type="table" w:styleId="TableGrid">
    <w:name w:val="Table Grid"/>
    <w:basedOn w:val="TableNormal"/>
    <w:uiPriority w:val="39"/>
    <w:rsid w:val="00D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43"/>
  </w:style>
  <w:style w:type="paragraph" w:styleId="Footer">
    <w:name w:val="footer"/>
    <w:basedOn w:val="Normal"/>
    <w:link w:val="FooterChar"/>
    <w:uiPriority w:val="99"/>
    <w:unhideWhenUsed/>
    <w:rsid w:val="0049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4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D934-F318-4AF9-ABBE-455BE790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Ashley</dc:creator>
  <cp:keywords/>
  <dc:description/>
  <cp:lastModifiedBy>Bohannon, Brooke</cp:lastModifiedBy>
  <cp:revision>43</cp:revision>
  <cp:lastPrinted>2015-12-04T20:49:00Z</cp:lastPrinted>
  <dcterms:created xsi:type="dcterms:W3CDTF">2015-12-02T14:26:00Z</dcterms:created>
  <dcterms:modified xsi:type="dcterms:W3CDTF">2016-02-11T20:24:00Z</dcterms:modified>
</cp:coreProperties>
</file>